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E5B291" w14:textId="2C5AE84C" w:rsidR="00CE70C0" w:rsidRDefault="00CE70C0" w:rsidP="00CE70C0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r w:rsidRPr="58EC049B">
        <w:rPr>
          <w:rFonts w:ascii="Arial" w:eastAsia="Times New Roman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58EC049B">
        <w:rPr>
          <w:rFonts w:ascii="Arial" w:eastAsia="Times New Roman" w:hAnsi="Arial"/>
          <w:b/>
          <w:bCs/>
          <w:sz w:val="24"/>
          <w:szCs w:val="24"/>
        </w:rPr>
        <w:t>SG-RAN WG2 Meeting #11</w:t>
      </w:r>
      <w:r>
        <w:rPr>
          <w:rFonts w:ascii="Arial" w:eastAsia="Times New Roman" w:hAnsi="Arial"/>
          <w:b/>
          <w:bCs/>
          <w:sz w:val="24"/>
          <w:szCs w:val="24"/>
        </w:rPr>
        <w:t>6-bis-e</w:t>
      </w:r>
      <w:r w:rsidRPr="58EC049B">
        <w:rPr>
          <w:rFonts w:ascii="Arial" w:eastAsia="Times New Roman" w:hAnsi="Arial"/>
          <w:b/>
          <w:bCs/>
          <w:sz w:val="24"/>
          <w:szCs w:val="24"/>
        </w:rPr>
        <w:t xml:space="preserve">                                                 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R2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="00D65C75"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2</w:t>
      </w:r>
      <w:r w:rsidR="00D65C75">
        <w:rPr>
          <w:rFonts w:ascii="Arial" w:hAnsi="Arial" w:cs="Arial"/>
          <w:b/>
          <w:bCs/>
          <w:color w:val="000000" w:themeColor="text1"/>
          <w:sz w:val="26"/>
          <w:szCs w:val="26"/>
        </w:rPr>
        <w:t>200620</w:t>
      </w:r>
    </w:p>
    <w:p w14:paraId="2D004B2E" w14:textId="77777777" w:rsidR="00CE70C0" w:rsidRDefault="00CE70C0" w:rsidP="00CE70C0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i/>
          <w:i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>E-Meeting, Jan 17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– Jan 25</w:t>
      </w:r>
      <w:r>
        <w:rPr>
          <w:rFonts w:ascii="Arial" w:hAnsi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bCs/>
          <w:sz w:val="24"/>
          <w:szCs w:val="24"/>
          <w:lang w:eastAsia="zh-CN"/>
        </w:rPr>
        <w:t>, 2022</w:t>
      </w:r>
    </w:p>
    <w:p w14:paraId="7F50E9C4" w14:textId="77777777" w:rsidR="00CE70C0" w:rsidRDefault="00CE70C0" w:rsidP="00CE70C0">
      <w:pPr>
        <w:widowControl w:val="0"/>
        <w:tabs>
          <w:tab w:val="right" w:pos="9639"/>
        </w:tabs>
        <w:spacing w:after="0"/>
        <w:rPr>
          <w:rFonts w:ascii="Arial" w:hAnsi="Arial"/>
          <w:b/>
          <w:sz w:val="24"/>
          <w:szCs w:val="24"/>
          <w:lang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ab/>
      </w:r>
    </w:p>
    <w:p w14:paraId="5E24FE09" w14:textId="4D712008" w:rsidR="00CE70C0" w:rsidRPr="006D3016" w:rsidRDefault="00CE70C0" w:rsidP="00CE70C0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  <w:szCs w:val="24"/>
        </w:rPr>
      </w:pPr>
      <w:r w:rsidRPr="58EC049B">
        <w:rPr>
          <w:rFonts w:ascii="Arial" w:eastAsia="MS Mincho" w:hAnsi="Arial" w:cs="Arial"/>
          <w:b/>
          <w:bCs/>
          <w:sz w:val="24"/>
          <w:szCs w:val="24"/>
        </w:rPr>
        <w:t xml:space="preserve">Agenda item: </w:t>
      </w:r>
      <w:r>
        <w:tab/>
      </w:r>
      <w:r w:rsidRPr="58EC049B">
        <w:rPr>
          <w:rFonts w:ascii="Arial" w:eastAsia="MS Mincho" w:hAnsi="Arial" w:cs="Arial"/>
          <w:b/>
          <w:bCs/>
          <w:sz w:val="24"/>
          <w:szCs w:val="24"/>
        </w:rPr>
        <w:t>8.</w:t>
      </w:r>
      <w:r>
        <w:rPr>
          <w:rFonts w:ascii="Arial" w:eastAsia="MS Mincho" w:hAnsi="Arial" w:cs="Arial"/>
          <w:b/>
          <w:bCs/>
          <w:sz w:val="24"/>
          <w:szCs w:val="24"/>
        </w:rPr>
        <w:t>10.</w:t>
      </w:r>
      <w:r w:rsidR="00F70AC3">
        <w:rPr>
          <w:rFonts w:ascii="Arial" w:eastAsia="MS Mincho" w:hAnsi="Arial" w:cs="Arial"/>
          <w:b/>
          <w:bCs/>
          <w:sz w:val="24"/>
          <w:szCs w:val="24"/>
        </w:rPr>
        <w:t>4</w:t>
      </w:r>
      <w:r w:rsidRPr="58EC049B">
        <w:rPr>
          <w:rFonts w:ascii="Arial" w:eastAsia="MS Mincho" w:hAnsi="Arial" w:cs="Arial"/>
          <w:b/>
          <w:bCs/>
          <w:sz w:val="24"/>
          <w:szCs w:val="24"/>
        </w:rPr>
        <w:t xml:space="preserve"> </w:t>
      </w:r>
    </w:p>
    <w:p w14:paraId="4C328698" w14:textId="3F33C997" w:rsidR="00CE70C0" w:rsidRDefault="00CE70C0" w:rsidP="00CE70C0">
      <w:pPr>
        <w:tabs>
          <w:tab w:val="left" w:pos="1985"/>
        </w:tabs>
        <w:ind w:left="1985" w:hanging="1985"/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Source: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MediaTek</w:t>
      </w:r>
    </w:p>
    <w:p w14:paraId="49626191" w14:textId="11993FDD" w:rsidR="00CE70C0" w:rsidRPr="006D3016" w:rsidRDefault="00CE70C0" w:rsidP="00CE70C0">
      <w:pPr>
        <w:ind w:left="1985" w:hanging="1985"/>
        <w:rPr>
          <w:rFonts w:ascii="Arial" w:eastAsia="Times New Roman" w:hAnsi="Arial" w:cs="Arial"/>
          <w:b/>
          <w:bCs/>
          <w:sz w:val="24"/>
          <w:szCs w:val="24"/>
        </w:rPr>
      </w:pPr>
      <w:r w:rsidRPr="777A394D">
        <w:rPr>
          <w:rFonts w:ascii="Arial" w:eastAsia="Times New Roman" w:hAnsi="Arial" w:cs="Arial"/>
          <w:b/>
          <w:bCs/>
          <w:sz w:val="24"/>
          <w:szCs w:val="24"/>
        </w:rPr>
        <w:t xml:space="preserve">Title: </w:t>
      </w:r>
      <w:r w:rsidRPr="006D3016">
        <w:rPr>
          <w:rFonts w:ascii="Arial" w:eastAsia="Times New Roman" w:hAnsi="Arial" w:cs="Arial"/>
          <w:b/>
          <w:bCs/>
          <w:sz w:val="24"/>
        </w:rPr>
        <w:tab/>
      </w:r>
      <w:r>
        <w:rPr>
          <w:rFonts w:ascii="Arial" w:eastAsia="Times New Roman" w:hAnsi="Arial" w:cs="Arial"/>
          <w:b/>
          <w:bCs/>
          <w:sz w:val="24"/>
        </w:rPr>
        <w:t>On</w:t>
      </w:r>
      <w:r w:rsidRPr="00B04821">
        <w:rPr>
          <w:rFonts w:ascii="Arial" w:eastAsia="Times New Roman" w:hAnsi="Arial" w:cs="Arial"/>
          <w:b/>
          <w:bCs/>
          <w:sz w:val="24"/>
        </w:rPr>
        <w:t xml:space="preserve"> UE capabilities </w:t>
      </w:r>
      <w:r>
        <w:rPr>
          <w:rFonts w:ascii="Arial" w:eastAsia="Times New Roman" w:hAnsi="Arial" w:cs="Arial"/>
          <w:b/>
          <w:bCs/>
          <w:sz w:val="24"/>
        </w:rPr>
        <w:t>in NR-NTN</w:t>
      </w:r>
    </w:p>
    <w:p w14:paraId="5E45C42D" w14:textId="77777777" w:rsidR="00CE70C0" w:rsidRPr="006D3016" w:rsidRDefault="00CE70C0" w:rsidP="00CE70C0">
      <w:pPr>
        <w:tabs>
          <w:tab w:val="left" w:pos="1985"/>
        </w:tabs>
        <w:rPr>
          <w:rFonts w:ascii="Arial" w:eastAsia="Times New Roman" w:hAnsi="Arial" w:cs="Arial"/>
          <w:b/>
          <w:bCs/>
          <w:sz w:val="24"/>
        </w:rPr>
      </w:pPr>
      <w:r w:rsidRPr="006D3016">
        <w:rPr>
          <w:rFonts w:ascii="Arial" w:eastAsia="Times New Roman" w:hAnsi="Arial" w:cs="Arial"/>
          <w:b/>
          <w:bCs/>
          <w:sz w:val="24"/>
        </w:rPr>
        <w:t>Document for:</w:t>
      </w:r>
      <w:r w:rsidRPr="006D3016">
        <w:rPr>
          <w:rFonts w:ascii="Arial" w:eastAsia="Times New Roman" w:hAnsi="Arial" w:cs="Arial"/>
          <w:b/>
          <w:bCs/>
          <w:sz w:val="24"/>
        </w:rPr>
        <w:tab/>
        <w:t>Discussion</w:t>
      </w:r>
    </w:p>
    <w:p w14:paraId="3583DDA5" w14:textId="77777777" w:rsidR="00CE70C0" w:rsidRDefault="00CE70C0" w:rsidP="00CE70C0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Introduction </w:t>
      </w:r>
    </w:p>
    <w:p w14:paraId="2D8A480F" w14:textId="5605D775" w:rsidR="003172DA" w:rsidRDefault="00FF7BCE" w:rsidP="00DF71B4">
      <w:pPr>
        <w:jc w:val="both"/>
        <w:rPr>
          <w:rFonts w:ascii="Arial" w:hAnsi="Arial" w:cs="Arial"/>
        </w:rPr>
      </w:pPr>
      <w:r w:rsidRPr="00FF7BCE">
        <w:rPr>
          <w:rFonts w:ascii="Arial" w:hAnsi="Arial" w:cs="Arial"/>
        </w:rPr>
        <w:t>In RAN2#116e meeting, the discussion on UE capabilities was initiated, but due to limited online discussion time, no agreements have been made</w:t>
      </w:r>
      <w:r>
        <w:rPr>
          <w:rFonts w:ascii="Arial" w:hAnsi="Arial" w:cs="Arial"/>
        </w:rPr>
        <w:t xml:space="preserve"> and a</w:t>
      </w:r>
      <w:r w:rsidR="00F00A12">
        <w:rPr>
          <w:rFonts w:ascii="Arial" w:hAnsi="Arial" w:cs="Arial"/>
        </w:rPr>
        <w:t xml:space="preserve"> long</w:t>
      </w:r>
      <w:r>
        <w:rPr>
          <w:rFonts w:ascii="Arial" w:hAnsi="Arial" w:cs="Arial"/>
        </w:rPr>
        <w:t xml:space="preserve"> email discussion is </w:t>
      </w:r>
      <w:r w:rsidR="00877BFA">
        <w:rPr>
          <w:rFonts w:ascii="Arial" w:hAnsi="Arial" w:cs="Arial"/>
        </w:rPr>
        <w:t>assigned [1]</w:t>
      </w:r>
      <w:r w:rsidR="00F00A12">
        <w:rPr>
          <w:rFonts w:ascii="Arial" w:hAnsi="Arial" w:cs="Arial"/>
        </w:rPr>
        <w:t>.</w:t>
      </w:r>
      <w:r w:rsidR="00DF71B4">
        <w:rPr>
          <w:rFonts w:ascii="Arial" w:hAnsi="Arial" w:cs="Arial"/>
        </w:rPr>
        <w:t xml:space="preserve"> The email discussion is concluded with some conclusions, which are not in line with our understanding. Through this contribution we highlight the relevant conclusions and issues.</w:t>
      </w:r>
    </w:p>
    <w:p w14:paraId="2CFB286A" w14:textId="77777777" w:rsidR="003172DA" w:rsidRDefault="003172DA" w:rsidP="003172DA">
      <w:pPr>
        <w:pStyle w:val="Heading1"/>
        <w:numPr>
          <w:ilvl w:val="0"/>
          <w:numId w:val="1"/>
        </w:numPr>
        <w:pBdr>
          <w:top w:val="single" w:sz="12" w:space="2" w:color="auto"/>
        </w:pBdr>
      </w:pPr>
      <w:r>
        <w:t xml:space="preserve">Discussion </w:t>
      </w:r>
    </w:p>
    <w:p w14:paraId="4B331E46" w14:textId="77777777" w:rsidR="003172DA" w:rsidRPr="00BF5E2F" w:rsidRDefault="003172DA" w:rsidP="003172DA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contextualSpacing w:val="0"/>
        <w:outlineLvl w:val="0"/>
        <w:rPr>
          <w:rFonts w:ascii="Arial" w:hAnsi="Arial"/>
          <w:vanish/>
          <w:sz w:val="36"/>
        </w:rPr>
      </w:pPr>
    </w:p>
    <w:p w14:paraId="031D4EBB" w14:textId="77777777" w:rsidR="003172DA" w:rsidRPr="00BF5E2F" w:rsidRDefault="003172DA" w:rsidP="003172DA">
      <w:pPr>
        <w:pStyle w:val="ListParagraph"/>
        <w:keepNext/>
        <w:keepLines/>
        <w:numPr>
          <w:ilvl w:val="0"/>
          <w:numId w:val="2"/>
        </w:numPr>
        <w:pBdr>
          <w:top w:val="single" w:sz="12" w:space="3" w:color="auto"/>
        </w:pBdr>
        <w:spacing w:before="240"/>
        <w:contextualSpacing w:val="0"/>
        <w:outlineLvl w:val="0"/>
        <w:rPr>
          <w:rFonts w:ascii="Arial" w:hAnsi="Arial"/>
          <w:vanish/>
          <w:sz w:val="36"/>
        </w:rPr>
      </w:pPr>
    </w:p>
    <w:p w14:paraId="15C222C8" w14:textId="0775F1F4" w:rsidR="008E1E5B" w:rsidRDefault="00DF71B4" w:rsidP="00BD12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first issue is regarding </w:t>
      </w:r>
      <w:r w:rsidR="003172DA" w:rsidRPr="003172DA">
        <w:rPr>
          <w:rFonts w:ascii="Arial" w:hAnsi="Arial" w:cs="Arial"/>
        </w:rPr>
        <w:t>whether to define separate UE capabilities for GEO</w:t>
      </w:r>
      <w:r>
        <w:rPr>
          <w:rFonts w:ascii="Arial" w:hAnsi="Arial" w:cs="Arial"/>
        </w:rPr>
        <w:t xml:space="preserve"> (GSO)</w:t>
      </w:r>
      <w:r w:rsidR="003172DA" w:rsidRPr="003172DA">
        <w:rPr>
          <w:rFonts w:ascii="Arial" w:hAnsi="Arial" w:cs="Arial"/>
        </w:rPr>
        <w:t xml:space="preserve"> case and LEO</w:t>
      </w:r>
      <w:r>
        <w:rPr>
          <w:rFonts w:ascii="Arial" w:hAnsi="Arial" w:cs="Arial"/>
        </w:rPr>
        <w:t xml:space="preserve"> (NGSO)</w:t>
      </w:r>
      <w:r w:rsidR="003172DA" w:rsidRPr="003172DA">
        <w:rPr>
          <w:rFonts w:ascii="Arial" w:hAnsi="Arial" w:cs="Arial"/>
        </w:rPr>
        <w:t xml:space="preserve"> case. </w:t>
      </w:r>
      <w:r w:rsidR="00BD12D2">
        <w:rPr>
          <w:rFonts w:ascii="Arial" w:hAnsi="Arial" w:cs="Arial"/>
        </w:rPr>
        <w:t xml:space="preserve">It is concluded to </w:t>
      </w:r>
      <w:r w:rsidR="00BD12D2" w:rsidRPr="00BD12D2">
        <w:rPr>
          <w:rFonts w:ascii="Arial" w:hAnsi="Arial" w:cs="Arial"/>
        </w:rPr>
        <w:t>define one single NR NTN UE capability to encompass essential features to support both NGSO and GSO</w:t>
      </w:r>
      <w:r w:rsidR="00BD12D2">
        <w:rPr>
          <w:rFonts w:ascii="Arial" w:hAnsi="Arial" w:cs="Arial"/>
        </w:rPr>
        <w:t xml:space="preserve"> [1]. However, s</w:t>
      </w:r>
      <w:r w:rsidR="00BD12D2" w:rsidRPr="00BD12D2">
        <w:rPr>
          <w:rFonts w:ascii="Arial" w:hAnsi="Arial" w:cs="Arial"/>
        </w:rPr>
        <w:t>ince the UE supporting GSO and the UE supporting NGSO may need different enhancements, it leads to different requirements of UE capabilities.</w:t>
      </w:r>
      <w:r w:rsidR="00BD12D2">
        <w:rPr>
          <w:rFonts w:ascii="Arial" w:hAnsi="Arial" w:cs="Arial"/>
        </w:rPr>
        <w:t xml:space="preserve"> </w:t>
      </w:r>
      <w:r w:rsidR="008E1E5B">
        <w:rPr>
          <w:rFonts w:ascii="Arial" w:hAnsi="Arial" w:cs="Arial"/>
        </w:rPr>
        <w:t xml:space="preserve">For example, </w:t>
      </w:r>
      <w:r w:rsidR="008E1E5B" w:rsidRPr="008E1E5B">
        <w:rPr>
          <w:rFonts w:ascii="Arial" w:hAnsi="Arial" w:cs="Arial"/>
        </w:rPr>
        <w:t>support of HARQ feedback disabling may be necessary for GSO but not for NGSO</w:t>
      </w:r>
      <w:r w:rsidR="008E1E5B">
        <w:rPr>
          <w:rFonts w:ascii="Arial" w:hAnsi="Arial" w:cs="Arial"/>
        </w:rPr>
        <w:t>. Similarly, many of the Control Plane enhancement features</w:t>
      </w:r>
      <w:r w:rsidR="005D19A2">
        <w:rPr>
          <w:rFonts w:ascii="Arial" w:hAnsi="Arial" w:cs="Arial"/>
        </w:rPr>
        <w:t xml:space="preserve"> such as </w:t>
      </w:r>
      <w:r w:rsidR="008E1E5B">
        <w:rPr>
          <w:rFonts w:ascii="Arial" w:hAnsi="Arial" w:cs="Arial"/>
        </w:rPr>
        <w:t xml:space="preserve">Soft TAC update, CHO enhancements, and reporting coarse UE locations could be </w:t>
      </w:r>
      <w:r w:rsidR="005D19A2">
        <w:rPr>
          <w:rFonts w:ascii="Arial" w:hAnsi="Arial" w:cs="Arial"/>
        </w:rPr>
        <w:t>required</w:t>
      </w:r>
      <w:r w:rsidR="008E1E5B">
        <w:rPr>
          <w:rFonts w:ascii="Arial" w:hAnsi="Arial" w:cs="Arial"/>
        </w:rPr>
        <w:t xml:space="preserve"> </w:t>
      </w:r>
      <w:r w:rsidR="00824219">
        <w:rPr>
          <w:rFonts w:ascii="Arial" w:hAnsi="Arial" w:cs="Arial"/>
        </w:rPr>
        <w:t xml:space="preserve">by </w:t>
      </w:r>
      <w:r w:rsidR="008E1E5B">
        <w:rPr>
          <w:rFonts w:ascii="Arial" w:hAnsi="Arial" w:cs="Arial"/>
        </w:rPr>
        <w:t>NGSO</w:t>
      </w:r>
      <w:r w:rsidR="00824219">
        <w:rPr>
          <w:rFonts w:ascii="Arial" w:hAnsi="Arial" w:cs="Arial"/>
        </w:rPr>
        <w:t xml:space="preserve"> deployments</w:t>
      </w:r>
      <w:r w:rsidR="008E1E5B">
        <w:rPr>
          <w:rFonts w:ascii="Arial" w:hAnsi="Arial" w:cs="Arial"/>
        </w:rPr>
        <w:t xml:space="preserve">, but not for GSO. Hence, it is better to make </w:t>
      </w:r>
      <w:r w:rsidR="008E1E5B" w:rsidRPr="008E1E5B">
        <w:rPr>
          <w:rFonts w:ascii="Arial" w:hAnsi="Arial" w:cs="Arial"/>
        </w:rPr>
        <w:t>define separate UE capabilities for GSO case and NGSO case</w:t>
      </w:r>
      <w:r w:rsidR="008E1E5B">
        <w:rPr>
          <w:rFonts w:ascii="Arial" w:hAnsi="Arial" w:cs="Arial"/>
        </w:rPr>
        <w:t xml:space="preserve">s. </w:t>
      </w:r>
    </w:p>
    <w:p w14:paraId="1883D6CA" w14:textId="26B82E70" w:rsidR="008E1E5B" w:rsidRPr="008E1E5B" w:rsidRDefault="008E1E5B" w:rsidP="00BD12D2">
      <w:pPr>
        <w:jc w:val="both"/>
        <w:rPr>
          <w:rFonts w:ascii="Arial" w:hAnsi="Arial" w:cs="Arial"/>
          <w:b/>
          <w:bCs/>
        </w:rPr>
      </w:pPr>
      <w:r w:rsidRPr="008E1E5B">
        <w:rPr>
          <w:rFonts w:ascii="Arial" w:hAnsi="Arial" w:cs="Arial"/>
          <w:b/>
          <w:bCs/>
        </w:rPr>
        <w:t xml:space="preserve">Proposal 1: </w:t>
      </w:r>
      <w:r w:rsidRPr="008E1E5B">
        <w:rPr>
          <w:b/>
          <w:bCs/>
          <w:sz w:val="22"/>
          <w:szCs w:val="22"/>
        </w:rPr>
        <w:t>Define separate UE capabilities for GSO case and NGSO case</w:t>
      </w:r>
      <w:r>
        <w:rPr>
          <w:b/>
          <w:bCs/>
          <w:sz w:val="22"/>
          <w:szCs w:val="22"/>
        </w:rPr>
        <w:t>.</w:t>
      </w:r>
    </w:p>
    <w:p w14:paraId="79F16C31" w14:textId="53BD1963" w:rsidR="003172DA" w:rsidRPr="003172DA" w:rsidRDefault="008E1E5B" w:rsidP="00BD12D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71D358E" w14:textId="09E6B9F4" w:rsidR="003E21C1" w:rsidRDefault="008E1E5B" w:rsidP="008E1E5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In the conclusion of Email discussion [1], </w:t>
      </w:r>
      <w:r w:rsidR="005D19A2">
        <w:rPr>
          <w:rFonts w:ascii="Arial" w:hAnsi="Arial" w:cs="Arial"/>
        </w:rPr>
        <w:t>CHO enhancements, SMTC enhancements</w:t>
      </w:r>
      <w:r>
        <w:rPr>
          <w:rFonts w:ascii="Arial" w:hAnsi="Arial" w:cs="Arial"/>
        </w:rPr>
        <w:t xml:space="preserve"> and </w:t>
      </w:r>
      <w:r w:rsidRPr="008E1E5B">
        <w:rPr>
          <w:rFonts w:ascii="Arial" w:hAnsi="Arial" w:cs="Arial"/>
        </w:rPr>
        <w:t>soft TAC update</w:t>
      </w:r>
      <w:r>
        <w:rPr>
          <w:rFonts w:ascii="Arial" w:hAnsi="Arial" w:cs="Arial"/>
        </w:rPr>
        <w:t xml:space="preserve">s are considered as </w:t>
      </w:r>
      <w:r w:rsidR="005D19A2">
        <w:rPr>
          <w:rFonts w:ascii="Arial" w:hAnsi="Arial" w:cs="Arial"/>
        </w:rPr>
        <w:t xml:space="preserve">essential </w:t>
      </w:r>
      <w:r>
        <w:rPr>
          <w:rFonts w:ascii="Arial" w:hAnsi="Arial" w:cs="Arial"/>
        </w:rPr>
        <w:t>features. However, Soft TAC updates</w:t>
      </w:r>
      <w:r w:rsidR="00CD5404">
        <w:rPr>
          <w:rFonts w:ascii="Arial" w:hAnsi="Arial" w:cs="Arial"/>
        </w:rPr>
        <w:t>, SMTC enhancements</w:t>
      </w:r>
      <w:r w:rsidR="0078345F">
        <w:rPr>
          <w:rFonts w:ascii="Arial" w:hAnsi="Arial" w:cs="Arial"/>
        </w:rPr>
        <w:t xml:space="preserve"> and CHO enhancements</w:t>
      </w:r>
      <w:r>
        <w:rPr>
          <w:rFonts w:ascii="Arial" w:hAnsi="Arial" w:cs="Arial"/>
        </w:rPr>
        <w:t xml:space="preserve"> are required only for NSGO, with Earth moving beams</w:t>
      </w:r>
      <w:r w:rsidR="00CD5404">
        <w:rPr>
          <w:rFonts w:ascii="Arial" w:hAnsi="Arial" w:cs="Arial"/>
        </w:rPr>
        <w:t xml:space="preserve"> or quasi Earth-fixed beams</w:t>
      </w:r>
      <w:r w:rsidR="009B0D20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and have negligible impact on GSO. Hence, it cannot be considered as an essential feature</w:t>
      </w:r>
      <w:r w:rsidR="00CD5404">
        <w:rPr>
          <w:rFonts w:ascii="Arial" w:hAnsi="Arial" w:cs="Arial"/>
        </w:rPr>
        <w:t xml:space="preserve"> for all cases</w:t>
      </w:r>
      <w:r>
        <w:rPr>
          <w:rFonts w:ascii="Arial" w:hAnsi="Arial" w:cs="Arial"/>
        </w:rPr>
        <w:t xml:space="preserve">. </w:t>
      </w:r>
      <w:r w:rsidR="008A6BAD">
        <w:rPr>
          <w:rFonts w:ascii="Arial" w:hAnsi="Arial" w:cs="Arial"/>
        </w:rPr>
        <w:t xml:space="preserve">This is also mentioned by some companies in the email discussion. </w:t>
      </w:r>
    </w:p>
    <w:p w14:paraId="5C3DB84B" w14:textId="7378785D" w:rsidR="0078345F" w:rsidRDefault="0078345F" w:rsidP="0078345F">
      <w:pPr>
        <w:jc w:val="both"/>
        <w:rPr>
          <w:b/>
          <w:bCs/>
          <w:sz w:val="22"/>
          <w:szCs w:val="22"/>
        </w:rPr>
      </w:pPr>
      <w:r w:rsidRPr="008E1E5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8E1E5B">
        <w:rPr>
          <w:rFonts w:ascii="Arial" w:hAnsi="Arial" w:cs="Arial"/>
          <w:b/>
          <w:bCs/>
        </w:rPr>
        <w:t xml:space="preserve">: </w:t>
      </w:r>
      <w:r>
        <w:rPr>
          <w:b/>
          <w:bCs/>
          <w:sz w:val="22"/>
          <w:szCs w:val="22"/>
        </w:rPr>
        <w:t>Soft TAC Updates</w:t>
      </w:r>
      <w:r w:rsidR="00CD5404">
        <w:rPr>
          <w:b/>
          <w:bCs/>
          <w:sz w:val="22"/>
          <w:szCs w:val="22"/>
        </w:rPr>
        <w:t>, SMTC enhancements</w:t>
      </w:r>
      <w:r>
        <w:rPr>
          <w:b/>
          <w:bCs/>
          <w:sz w:val="22"/>
          <w:szCs w:val="22"/>
        </w:rPr>
        <w:t xml:space="preserve"> and CHO Enhancements </w:t>
      </w:r>
      <w:r w:rsidR="00CD5404">
        <w:rPr>
          <w:b/>
          <w:bCs/>
          <w:sz w:val="22"/>
          <w:szCs w:val="22"/>
        </w:rPr>
        <w:t xml:space="preserve">are considered as </w:t>
      </w:r>
      <w:r>
        <w:rPr>
          <w:b/>
          <w:bCs/>
          <w:sz w:val="22"/>
          <w:szCs w:val="22"/>
        </w:rPr>
        <w:t>essential only for NSGO case and not for GSO case.</w:t>
      </w:r>
    </w:p>
    <w:p w14:paraId="047ACC03" w14:textId="75F138E6" w:rsidR="0078345F" w:rsidRDefault="0078345F" w:rsidP="0078345F">
      <w:pPr>
        <w:jc w:val="both"/>
        <w:rPr>
          <w:b/>
          <w:bCs/>
          <w:sz w:val="22"/>
          <w:szCs w:val="22"/>
        </w:rPr>
      </w:pPr>
    </w:p>
    <w:p w14:paraId="51EBAA84" w14:textId="77777777" w:rsidR="0078345F" w:rsidRDefault="0078345F" w:rsidP="0078345F">
      <w:pPr>
        <w:pStyle w:val="Heading1"/>
        <w:numPr>
          <w:ilvl w:val="0"/>
          <w:numId w:val="1"/>
        </w:numPr>
      </w:pPr>
      <w:r>
        <w:t>Conclusion</w:t>
      </w:r>
    </w:p>
    <w:p w14:paraId="554356D7" w14:textId="36D04DE0" w:rsidR="0078345F" w:rsidRPr="00A37D01" w:rsidRDefault="0078345F" w:rsidP="0078345F">
      <w:pPr>
        <w:rPr>
          <w:sz w:val="22"/>
          <w:szCs w:val="22"/>
        </w:rPr>
      </w:pPr>
      <w:r w:rsidRPr="00A37D01">
        <w:rPr>
          <w:sz w:val="22"/>
          <w:szCs w:val="22"/>
        </w:rPr>
        <w:t xml:space="preserve">Based on this </w:t>
      </w:r>
      <w:r>
        <w:rPr>
          <w:sz w:val="22"/>
          <w:szCs w:val="22"/>
        </w:rPr>
        <w:t>contribution</w:t>
      </w:r>
      <w:r w:rsidRPr="00A37D01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we suggest </w:t>
      </w:r>
      <w:r w:rsidRPr="00A37D01">
        <w:rPr>
          <w:sz w:val="22"/>
          <w:szCs w:val="22"/>
        </w:rPr>
        <w:t xml:space="preserve">the following proposals </w:t>
      </w:r>
      <w:r>
        <w:rPr>
          <w:sz w:val="22"/>
          <w:szCs w:val="22"/>
        </w:rPr>
        <w:t>on UE capabilities:</w:t>
      </w:r>
    </w:p>
    <w:p w14:paraId="4220B708" w14:textId="1BA02D38" w:rsidR="0078345F" w:rsidRDefault="0078345F" w:rsidP="0078345F">
      <w:pPr>
        <w:jc w:val="both"/>
        <w:rPr>
          <w:b/>
          <w:bCs/>
          <w:sz w:val="22"/>
          <w:szCs w:val="22"/>
        </w:rPr>
      </w:pPr>
      <w:r w:rsidRPr="00D30AAB">
        <w:rPr>
          <w:b/>
          <w:bCs/>
          <w:sz w:val="22"/>
          <w:szCs w:val="22"/>
          <w:lang w:eastAsia="ko-KR"/>
        </w:rPr>
        <w:t>Proposal 1</w:t>
      </w:r>
      <w:r>
        <w:rPr>
          <w:b/>
          <w:bCs/>
          <w:sz w:val="22"/>
          <w:szCs w:val="22"/>
          <w:lang w:eastAsia="ko-KR"/>
        </w:rPr>
        <w:t xml:space="preserve">: </w:t>
      </w:r>
      <w:r w:rsidRPr="008E1E5B">
        <w:rPr>
          <w:b/>
          <w:bCs/>
          <w:sz w:val="22"/>
          <w:szCs w:val="22"/>
        </w:rPr>
        <w:t>Define separate UE capabilities for GSO case and NGSO case</w:t>
      </w:r>
      <w:r>
        <w:rPr>
          <w:b/>
          <w:bCs/>
          <w:sz w:val="22"/>
          <w:szCs w:val="22"/>
        </w:rPr>
        <w:t>.</w:t>
      </w:r>
    </w:p>
    <w:p w14:paraId="508AA187" w14:textId="77777777" w:rsidR="0078345F" w:rsidRDefault="0078345F" w:rsidP="0078345F">
      <w:pPr>
        <w:jc w:val="both"/>
        <w:rPr>
          <w:b/>
          <w:bCs/>
          <w:sz w:val="22"/>
          <w:szCs w:val="22"/>
        </w:rPr>
      </w:pPr>
      <w:r w:rsidRPr="008E1E5B">
        <w:rPr>
          <w:rFonts w:ascii="Arial" w:hAnsi="Arial" w:cs="Arial"/>
          <w:b/>
          <w:bCs/>
        </w:rPr>
        <w:t xml:space="preserve">Proposal </w:t>
      </w:r>
      <w:r>
        <w:rPr>
          <w:rFonts w:ascii="Arial" w:hAnsi="Arial" w:cs="Arial"/>
          <w:b/>
          <w:bCs/>
        </w:rPr>
        <w:t>2</w:t>
      </w:r>
      <w:r w:rsidRPr="008E1E5B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Mae </w:t>
      </w:r>
      <w:r>
        <w:rPr>
          <w:b/>
          <w:bCs/>
          <w:sz w:val="22"/>
          <w:szCs w:val="22"/>
        </w:rPr>
        <w:t>Soft TAC Updates and CHO Enhancements essential only for NSGO case and not for GSO case.</w:t>
      </w:r>
    </w:p>
    <w:p w14:paraId="03B6B46C" w14:textId="77777777" w:rsidR="0078345F" w:rsidRDefault="0078345F" w:rsidP="0078345F">
      <w:pPr>
        <w:rPr>
          <w:b/>
          <w:bCs/>
          <w:sz w:val="22"/>
          <w:szCs w:val="22"/>
        </w:rPr>
      </w:pPr>
    </w:p>
    <w:p w14:paraId="13344F8E" w14:textId="77777777" w:rsidR="0078345F" w:rsidRDefault="0078345F" w:rsidP="0078345F">
      <w:pPr>
        <w:pStyle w:val="Heading1"/>
        <w:numPr>
          <w:ilvl w:val="0"/>
          <w:numId w:val="1"/>
        </w:numPr>
      </w:pPr>
      <w:r>
        <w:t>References</w:t>
      </w:r>
    </w:p>
    <w:p w14:paraId="58DCB687" w14:textId="57213668" w:rsidR="0078345F" w:rsidRDefault="0078345F" w:rsidP="0078345F">
      <w:r>
        <w:t xml:space="preserve">[1] </w:t>
      </w:r>
      <w:r w:rsidRPr="0078345F">
        <w:t>Report of email discussion [Post116-e][111][NTN] UE capabilities (Intel)</w:t>
      </w:r>
    </w:p>
    <w:p w14:paraId="6AF37803" w14:textId="77777777" w:rsidR="0078345F" w:rsidRPr="008E1E5B" w:rsidRDefault="0078345F" w:rsidP="0078345F">
      <w:pPr>
        <w:jc w:val="both"/>
        <w:rPr>
          <w:rFonts w:ascii="Arial" w:hAnsi="Arial" w:cs="Arial"/>
          <w:b/>
          <w:bCs/>
        </w:rPr>
      </w:pPr>
    </w:p>
    <w:p w14:paraId="68E1B34C" w14:textId="77777777" w:rsidR="008A6BAD" w:rsidRPr="00FF7BCE" w:rsidRDefault="008A6BAD" w:rsidP="008E1E5B">
      <w:pPr>
        <w:jc w:val="both"/>
        <w:rPr>
          <w:rFonts w:ascii="Arial" w:hAnsi="Arial" w:cs="Arial"/>
        </w:rPr>
      </w:pPr>
    </w:p>
    <w:sectPr w:rsidR="008A6BAD" w:rsidRPr="00FF7B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421DEB"/>
    <w:multiLevelType w:val="multilevel"/>
    <w:tmpl w:val="7EC825A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36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61E434A5"/>
    <w:multiLevelType w:val="multilevel"/>
    <w:tmpl w:val="57027EF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0C0"/>
    <w:rsid w:val="003172DA"/>
    <w:rsid w:val="003E21C1"/>
    <w:rsid w:val="004D55FB"/>
    <w:rsid w:val="005D19A2"/>
    <w:rsid w:val="0076347E"/>
    <w:rsid w:val="0078345F"/>
    <w:rsid w:val="00824219"/>
    <w:rsid w:val="00877BFA"/>
    <w:rsid w:val="008A6BAD"/>
    <w:rsid w:val="008E1E5B"/>
    <w:rsid w:val="009B0D20"/>
    <w:rsid w:val="00BD12D2"/>
    <w:rsid w:val="00CD5404"/>
    <w:rsid w:val="00CE70C0"/>
    <w:rsid w:val="00D65C75"/>
    <w:rsid w:val="00DF71B4"/>
    <w:rsid w:val="00F00A12"/>
    <w:rsid w:val="00F70AC3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64F20"/>
  <w15:chartTrackingRefBased/>
  <w15:docId w15:val="{AE09DA7A-9BD7-4B42-B124-900E12A42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0C0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next w:val="Normal"/>
    <w:link w:val="Heading1Char"/>
    <w:qFormat/>
    <w:rsid w:val="00CE70C0"/>
    <w:pPr>
      <w:keepNext/>
      <w:keepLines/>
      <w:numPr>
        <w:numId w:val="2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algun Gothic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E70C0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70C0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70C0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70C0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E70C0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70C0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70C0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70C0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70C0"/>
    <w:rPr>
      <w:rFonts w:ascii="Arial" w:eastAsia="Malgun Gothic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CE70C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70C0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70C0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70C0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E70C0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70C0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70C0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70C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 w:eastAsia="en-US"/>
    </w:rPr>
  </w:style>
  <w:style w:type="paragraph" w:styleId="ListParagraph">
    <w:name w:val="List Paragraph"/>
    <w:aliases w:val="- Bullets,?? ??,?????,????,リスト段落,Lista1,R4_bullets,列出段落1,中等深浅网格 1 - 着色 21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3172DA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リスト段落 Char,Lista1 Char,R4_bullets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3172DA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Revision">
    <w:name w:val="Revision"/>
    <w:hidden/>
    <w:uiPriority w:val="99"/>
    <w:semiHidden/>
    <w:rsid w:val="005D19A2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MTK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Abhishek Roy</dc:creator>
  <cp:keywords/>
  <dc:description/>
  <cp:lastModifiedBy>Abhishek Roy</cp:lastModifiedBy>
  <cp:revision>4</cp:revision>
  <dcterms:created xsi:type="dcterms:W3CDTF">2022-01-07T16:15:00Z</dcterms:created>
  <dcterms:modified xsi:type="dcterms:W3CDTF">2022-01-11T02:34:00Z</dcterms:modified>
</cp:coreProperties>
</file>